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1E7F7" w14:textId="77777777" w:rsidR="00FE15A2" w:rsidRDefault="00FE15A2" w:rsidP="00FE15A2">
      <w:pPr>
        <w:pStyle w:val="Kop1"/>
        <w:spacing w:before="0" w:line="360" w:lineRule="auto"/>
        <w:rPr>
          <w:b/>
          <w:bCs/>
          <w:sz w:val="24"/>
          <w:szCs w:val="24"/>
        </w:rPr>
      </w:pPr>
      <w:bookmarkStart w:id="0" w:name="_Toc33560967"/>
      <w:r w:rsidRPr="000F7EBF">
        <w:rPr>
          <w:b/>
          <w:bCs/>
          <w:sz w:val="24"/>
          <w:szCs w:val="24"/>
        </w:rPr>
        <w:t xml:space="preserve">Bijlage </w:t>
      </w:r>
      <w:r>
        <w:rPr>
          <w:b/>
          <w:bCs/>
          <w:sz w:val="24"/>
          <w:szCs w:val="24"/>
        </w:rPr>
        <w:t>2</w:t>
      </w:r>
      <w:r w:rsidRPr="000F7EBF">
        <w:rPr>
          <w:b/>
          <w:bCs/>
          <w:sz w:val="24"/>
          <w:szCs w:val="24"/>
        </w:rPr>
        <w:t xml:space="preserve">a </w:t>
      </w:r>
      <w:r>
        <w:rPr>
          <w:b/>
          <w:bCs/>
          <w:sz w:val="24"/>
          <w:szCs w:val="24"/>
        </w:rPr>
        <w:t xml:space="preserve"> </w:t>
      </w:r>
      <w:r w:rsidRPr="000F7EBF">
        <w:rPr>
          <w:b/>
          <w:bCs/>
          <w:sz w:val="24"/>
          <w:szCs w:val="24"/>
        </w:rPr>
        <w:t>Toelichting bij invullen van de</w:t>
      </w:r>
      <w:bookmarkEnd w:id="0"/>
      <w:r w:rsidRPr="000F7EBF">
        <w:rPr>
          <w:b/>
          <w:bCs/>
          <w:sz w:val="24"/>
          <w:szCs w:val="24"/>
        </w:rPr>
        <w:t xml:space="preserve"> </w:t>
      </w:r>
      <w:bookmarkStart w:id="1" w:name="_Toc33560968"/>
      <w:r w:rsidRPr="000F7EBF">
        <w:rPr>
          <w:b/>
          <w:bCs/>
          <w:sz w:val="24"/>
          <w:szCs w:val="24"/>
        </w:rPr>
        <w:t>overeenkomst</w:t>
      </w:r>
      <w:bookmarkEnd w:id="1"/>
      <w:r w:rsidRPr="000F7EBF">
        <w:rPr>
          <w:b/>
          <w:bCs/>
          <w:sz w:val="24"/>
          <w:szCs w:val="24"/>
        </w:rPr>
        <w:t xml:space="preserve"> van lease </w:t>
      </w:r>
    </w:p>
    <w:p w14:paraId="354CB670" w14:textId="77777777" w:rsidR="00FE15A2" w:rsidRPr="000F7EBF" w:rsidRDefault="00FE15A2" w:rsidP="00FE15A2">
      <w:pPr>
        <w:pStyle w:val="Kop1"/>
        <w:spacing w:before="0" w:line="360" w:lineRule="auto"/>
        <w:ind w:left="1416"/>
        <w:rPr>
          <w:b/>
          <w:bCs/>
          <w:sz w:val="24"/>
          <w:szCs w:val="24"/>
        </w:rPr>
      </w:pPr>
      <w:r>
        <w:rPr>
          <w:b/>
          <w:bCs/>
          <w:sz w:val="24"/>
          <w:szCs w:val="24"/>
        </w:rPr>
        <w:t xml:space="preserve">  </w:t>
      </w:r>
      <w:r w:rsidRPr="000F7EBF">
        <w:rPr>
          <w:b/>
          <w:bCs/>
          <w:sz w:val="24"/>
          <w:szCs w:val="24"/>
        </w:rPr>
        <w:t>of terbeschikkingstelling van de fiets</w:t>
      </w:r>
    </w:p>
    <w:p w14:paraId="5AFFBA02" w14:textId="77777777" w:rsidR="00FE15A2" w:rsidRPr="00C33C22" w:rsidRDefault="00FE15A2" w:rsidP="00FE15A2">
      <w:pPr>
        <w:spacing w:after="0" w:line="360" w:lineRule="auto"/>
        <w:rPr>
          <w:sz w:val="20"/>
          <w:szCs w:val="20"/>
        </w:rPr>
      </w:pPr>
    </w:p>
    <w:p w14:paraId="1F8FB7F8" w14:textId="77777777" w:rsidR="00FE15A2" w:rsidRPr="00C33C22" w:rsidRDefault="00FE15A2" w:rsidP="00FE15A2">
      <w:pPr>
        <w:widowControl w:val="0"/>
        <w:tabs>
          <w:tab w:val="left" w:pos="-1440"/>
          <w:tab w:val="left" w:pos="-720"/>
          <w:tab w:val="left" w:pos="432"/>
          <w:tab w:val="left" w:pos="864"/>
          <w:tab w:val="left" w:pos="5040"/>
        </w:tabs>
        <w:suppressAutoHyphens/>
        <w:spacing w:after="0" w:line="360" w:lineRule="auto"/>
        <w:jc w:val="both"/>
        <w:rPr>
          <w:b/>
          <w:bCs/>
          <w:snapToGrid w:val="0"/>
          <w:sz w:val="20"/>
          <w:szCs w:val="20"/>
        </w:rPr>
      </w:pPr>
      <w:r w:rsidRPr="00C33C22">
        <w:rPr>
          <w:b/>
          <w:bCs/>
          <w:snapToGrid w:val="0"/>
          <w:sz w:val="20"/>
          <w:szCs w:val="20"/>
        </w:rPr>
        <w:t>Artikel 2: Wijze van aanschaf en eigendom</w:t>
      </w:r>
    </w:p>
    <w:p w14:paraId="67916561" w14:textId="77777777" w:rsidR="00FE15A2" w:rsidRPr="00C33C22" w:rsidRDefault="00FE15A2" w:rsidP="00FE15A2">
      <w:pPr>
        <w:spacing w:after="0" w:line="360" w:lineRule="auto"/>
        <w:jc w:val="both"/>
        <w:rPr>
          <w:sz w:val="20"/>
          <w:szCs w:val="20"/>
        </w:rPr>
      </w:pPr>
      <w:r w:rsidRPr="00C33C22">
        <w:rPr>
          <w:sz w:val="20"/>
          <w:szCs w:val="20"/>
        </w:rPr>
        <w:t>Belangrijk is dat werknemer gebruiker van de fiets is. Werkgever of de leasemaatschappij is eigenaar van de fiets. In dit artikel moet dus een keuze optie worden ingevuld.</w:t>
      </w:r>
    </w:p>
    <w:p w14:paraId="4FEB3498" w14:textId="77777777" w:rsidR="00FE15A2" w:rsidRPr="00C33C22" w:rsidRDefault="00FE15A2" w:rsidP="00FE15A2">
      <w:pPr>
        <w:spacing w:after="0" w:line="360" w:lineRule="auto"/>
        <w:jc w:val="both"/>
        <w:rPr>
          <w:sz w:val="20"/>
          <w:szCs w:val="20"/>
        </w:rPr>
      </w:pPr>
    </w:p>
    <w:p w14:paraId="0D4D9CD0" w14:textId="77777777" w:rsidR="00FE15A2" w:rsidRPr="00C33C22" w:rsidRDefault="00FE15A2" w:rsidP="00FE15A2">
      <w:pPr>
        <w:spacing w:after="0" w:line="360" w:lineRule="auto"/>
        <w:jc w:val="both"/>
        <w:rPr>
          <w:b/>
          <w:bCs/>
          <w:sz w:val="20"/>
          <w:szCs w:val="20"/>
        </w:rPr>
      </w:pPr>
      <w:r w:rsidRPr="00C33C22">
        <w:rPr>
          <w:b/>
          <w:bCs/>
          <w:sz w:val="20"/>
          <w:szCs w:val="20"/>
        </w:rPr>
        <w:t>Artikel 3: Risico van tenietgaan/beschadiging/diefstal</w:t>
      </w:r>
    </w:p>
    <w:p w14:paraId="7585991F" w14:textId="77777777" w:rsidR="00FE15A2" w:rsidRPr="00C33C22" w:rsidRDefault="00FE15A2" w:rsidP="00FE15A2">
      <w:pPr>
        <w:spacing w:after="0" w:line="360" w:lineRule="auto"/>
        <w:jc w:val="both"/>
        <w:rPr>
          <w:sz w:val="20"/>
          <w:szCs w:val="20"/>
        </w:rPr>
      </w:pPr>
      <w:r w:rsidRPr="00C33C22">
        <w:rPr>
          <w:sz w:val="20"/>
          <w:szCs w:val="20"/>
        </w:rPr>
        <w:t>Omdat werkgever of de leasemaatschappij eigenaar is van de fiets en werknemer slechts gebruiker is, zal in de meeste gevallen de werknemer geen verzekering hoeven af te sluiten en zal de werkgever de kosten van onderhoud van de fiets voor haar rekening nemen.</w:t>
      </w:r>
    </w:p>
    <w:p w14:paraId="215037FE" w14:textId="77777777" w:rsidR="00FE15A2" w:rsidRPr="00C33C22" w:rsidRDefault="00FE15A2" w:rsidP="00FE15A2">
      <w:pPr>
        <w:spacing w:after="0" w:line="360" w:lineRule="auto"/>
        <w:jc w:val="both"/>
        <w:rPr>
          <w:sz w:val="20"/>
          <w:szCs w:val="20"/>
        </w:rPr>
      </w:pPr>
    </w:p>
    <w:p w14:paraId="1D80DD53" w14:textId="77777777" w:rsidR="00FE15A2" w:rsidRPr="00C33C22" w:rsidRDefault="00FE15A2" w:rsidP="00FE15A2">
      <w:pPr>
        <w:spacing w:after="0" w:line="360" w:lineRule="auto"/>
        <w:jc w:val="both"/>
        <w:rPr>
          <w:b/>
          <w:bCs/>
          <w:sz w:val="20"/>
          <w:szCs w:val="20"/>
        </w:rPr>
      </w:pPr>
      <w:r w:rsidRPr="00C33C22">
        <w:rPr>
          <w:b/>
          <w:bCs/>
          <w:sz w:val="20"/>
          <w:szCs w:val="20"/>
        </w:rPr>
        <w:t>Artikel 4: Bijtelling loon</w:t>
      </w:r>
    </w:p>
    <w:p w14:paraId="73B768A7" w14:textId="77777777" w:rsidR="00FE15A2" w:rsidRPr="00C33C22" w:rsidRDefault="00FE15A2" w:rsidP="00FE15A2">
      <w:pPr>
        <w:spacing w:after="0" w:line="360" w:lineRule="auto"/>
        <w:jc w:val="both"/>
        <w:rPr>
          <w:sz w:val="20"/>
          <w:szCs w:val="20"/>
        </w:rPr>
      </w:pPr>
      <w:r w:rsidRPr="00C33C22">
        <w:rPr>
          <w:sz w:val="20"/>
          <w:szCs w:val="20"/>
        </w:rPr>
        <w:t>Voor het gebruik van de fiets betaalt werknemer jaarlijks een bijtelling van het loon ad 7% van de cataloguswaarde van de fiets. Over deze 7% waarde betaalt de werknemer dus loonbelasting en premies.</w:t>
      </w:r>
    </w:p>
    <w:p w14:paraId="5E36D503" w14:textId="77777777" w:rsidR="00FE15A2" w:rsidRPr="00C33C22" w:rsidRDefault="00FE15A2" w:rsidP="00FE15A2">
      <w:pPr>
        <w:spacing w:after="0" w:line="360" w:lineRule="auto"/>
        <w:jc w:val="both"/>
        <w:rPr>
          <w:sz w:val="20"/>
          <w:szCs w:val="20"/>
        </w:rPr>
      </w:pPr>
    </w:p>
    <w:p w14:paraId="7896C827" w14:textId="77777777" w:rsidR="00FE15A2" w:rsidRPr="00C33C22" w:rsidRDefault="00FE15A2" w:rsidP="00FE15A2">
      <w:pPr>
        <w:spacing w:after="0" w:line="360" w:lineRule="auto"/>
        <w:jc w:val="both"/>
        <w:rPr>
          <w:sz w:val="20"/>
          <w:szCs w:val="20"/>
        </w:rPr>
      </w:pPr>
      <w:r w:rsidRPr="00C33C22">
        <w:rPr>
          <w:sz w:val="20"/>
          <w:szCs w:val="20"/>
        </w:rPr>
        <w:t xml:space="preserve">Werkgever kan ervoor kiezen om deze bijtelling van het loon voor haar rekening te nemen. In dat geval wordt de bijtelling van het loon ad 7% over de cataloguswaarde incl. btw van de fiets in de vrije ruimte van de WKR aangemerkt. Wel moet de werkgever ervoor waken dat de onbelaste ruimte in de WKR niet wordt overschreden. Bij overschrijding is de werkgever aanvullend 80% eindheffing verschuldigd. </w:t>
      </w:r>
    </w:p>
    <w:p w14:paraId="4B8967DE" w14:textId="77777777" w:rsidR="00FE15A2" w:rsidRPr="00C33C22" w:rsidRDefault="00FE15A2" w:rsidP="00FE15A2">
      <w:pPr>
        <w:spacing w:after="0" w:line="360" w:lineRule="auto"/>
        <w:jc w:val="both"/>
        <w:rPr>
          <w:sz w:val="20"/>
          <w:szCs w:val="20"/>
        </w:rPr>
      </w:pPr>
    </w:p>
    <w:p w14:paraId="71629878" w14:textId="77777777" w:rsidR="00FE15A2" w:rsidRPr="00C33C22" w:rsidRDefault="00FE15A2" w:rsidP="00FE15A2">
      <w:pPr>
        <w:spacing w:after="0" w:line="360" w:lineRule="auto"/>
        <w:jc w:val="both"/>
        <w:rPr>
          <w:b/>
          <w:bCs/>
          <w:sz w:val="20"/>
          <w:szCs w:val="20"/>
        </w:rPr>
      </w:pPr>
      <w:r w:rsidRPr="00C33C22">
        <w:rPr>
          <w:b/>
          <w:bCs/>
          <w:sz w:val="20"/>
          <w:szCs w:val="20"/>
        </w:rPr>
        <w:t>Artikel 5: Gevolgen huidige vergoeding woon/werkverkeer</w:t>
      </w:r>
    </w:p>
    <w:p w14:paraId="6E803837" w14:textId="77777777" w:rsidR="00FE15A2" w:rsidRPr="00C33C22" w:rsidRDefault="00FE15A2" w:rsidP="00FE15A2">
      <w:pPr>
        <w:spacing w:after="0" w:line="360" w:lineRule="auto"/>
        <w:jc w:val="both"/>
        <w:rPr>
          <w:sz w:val="20"/>
          <w:szCs w:val="20"/>
        </w:rPr>
      </w:pPr>
      <w:r w:rsidRPr="00C33C22">
        <w:rPr>
          <w:sz w:val="20"/>
          <w:szCs w:val="20"/>
        </w:rPr>
        <w:t xml:space="preserve">Omdat het ter beschikking stellen van de fiets wordt aangemerkt als vervoer van werkgever, bestaat er niet langer een gerichte vrijstelling voor het woon/werkverkeer. Dit betekent in de meeste gevallen dat de onbelaste vergoeding door het ter beschikking stellen van de fiets komt te vervallen. </w:t>
      </w:r>
    </w:p>
    <w:p w14:paraId="47F9834D" w14:textId="77777777" w:rsidR="00FE15A2" w:rsidRDefault="00FE15A2" w:rsidP="00FE15A2">
      <w:pPr>
        <w:spacing w:after="0" w:line="360" w:lineRule="auto"/>
        <w:jc w:val="both"/>
        <w:rPr>
          <w:sz w:val="20"/>
          <w:szCs w:val="20"/>
        </w:rPr>
      </w:pPr>
    </w:p>
    <w:p w14:paraId="4A2EFB69" w14:textId="77777777" w:rsidR="00FE15A2" w:rsidRPr="00C33C22" w:rsidRDefault="00FE15A2" w:rsidP="00FE15A2">
      <w:pPr>
        <w:spacing w:after="0" w:line="360" w:lineRule="auto"/>
        <w:jc w:val="both"/>
        <w:rPr>
          <w:sz w:val="20"/>
          <w:szCs w:val="20"/>
        </w:rPr>
      </w:pPr>
      <w:r w:rsidRPr="00C33C22">
        <w:rPr>
          <w:sz w:val="20"/>
          <w:szCs w:val="20"/>
        </w:rPr>
        <w:t>De werkgever kan er echter voor kiezen om de vergoeding nog wel te geven maar dan vervolgens als belast loon bij de werknemer aan te merken of als eindheffingsloon in de vrije ruimte in de WKR aan te merken</w:t>
      </w:r>
      <w:bookmarkStart w:id="2" w:name="_Hlk32390076"/>
      <w:r w:rsidRPr="00C33C22">
        <w:rPr>
          <w:sz w:val="20"/>
          <w:szCs w:val="20"/>
        </w:rPr>
        <w:t xml:space="preserve">. In het laatste geval blijft de vergoeding voor de werknemer onbelast. Wel moet de werkgever er rekening mee houden dat als de onbelaste ruimte in de WKR wordt overschreden, de werkgever aanvullend 80% eindheffing verschuldigd is. </w:t>
      </w:r>
    </w:p>
    <w:p w14:paraId="076FCE34" w14:textId="77777777" w:rsidR="00FE15A2" w:rsidRPr="00C33C22" w:rsidRDefault="00FE15A2" w:rsidP="00FE15A2">
      <w:pPr>
        <w:spacing w:after="0" w:line="360" w:lineRule="auto"/>
        <w:jc w:val="both"/>
        <w:rPr>
          <w:sz w:val="20"/>
          <w:szCs w:val="20"/>
        </w:rPr>
      </w:pPr>
    </w:p>
    <w:p w14:paraId="6746594F" w14:textId="77777777" w:rsidR="00FE15A2" w:rsidRPr="00C33C22" w:rsidRDefault="00FE15A2" w:rsidP="00FE15A2">
      <w:pPr>
        <w:spacing w:after="0" w:line="360" w:lineRule="auto"/>
        <w:jc w:val="both"/>
        <w:rPr>
          <w:sz w:val="20"/>
          <w:szCs w:val="20"/>
        </w:rPr>
      </w:pPr>
      <w:r w:rsidRPr="00C33C22">
        <w:rPr>
          <w:sz w:val="20"/>
          <w:szCs w:val="20"/>
        </w:rPr>
        <w:t xml:space="preserve">In dit artikel moet dus een keuze optie worden ingevuld. </w:t>
      </w:r>
    </w:p>
    <w:bookmarkEnd w:id="2"/>
    <w:p w14:paraId="10DD234A" w14:textId="77777777" w:rsidR="00FE15A2" w:rsidRPr="00C33C22" w:rsidRDefault="00FE15A2" w:rsidP="00FE15A2">
      <w:pPr>
        <w:spacing w:after="0" w:line="360" w:lineRule="auto"/>
        <w:jc w:val="both"/>
        <w:rPr>
          <w:b/>
          <w:bCs/>
          <w:sz w:val="20"/>
          <w:szCs w:val="20"/>
        </w:rPr>
      </w:pPr>
    </w:p>
    <w:p w14:paraId="0E9F7D77" w14:textId="77777777" w:rsidR="00FE15A2" w:rsidRPr="00C33C22" w:rsidRDefault="00FE15A2" w:rsidP="00FE15A2">
      <w:pPr>
        <w:spacing w:after="0" w:line="360" w:lineRule="auto"/>
        <w:jc w:val="both"/>
        <w:rPr>
          <w:b/>
          <w:bCs/>
          <w:sz w:val="20"/>
          <w:szCs w:val="20"/>
        </w:rPr>
      </w:pPr>
      <w:r w:rsidRPr="00C33C22">
        <w:rPr>
          <w:b/>
          <w:bCs/>
          <w:sz w:val="20"/>
          <w:szCs w:val="20"/>
        </w:rPr>
        <w:lastRenderedPageBreak/>
        <w:t>Artikel 6: Einde dienstverband</w:t>
      </w:r>
    </w:p>
    <w:p w14:paraId="179CFED2" w14:textId="77777777" w:rsidR="00FE15A2" w:rsidRDefault="00FE15A2" w:rsidP="00FE15A2">
      <w:pPr>
        <w:spacing w:after="0" w:line="360" w:lineRule="auto"/>
        <w:jc w:val="both"/>
        <w:rPr>
          <w:sz w:val="20"/>
          <w:szCs w:val="20"/>
        </w:rPr>
      </w:pPr>
      <w:r w:rsidRPr="00C33C22">
        <w:rPr>
          <w:sz w:val="20"/>
          <w:szCs w:val="20"/>
        </w:rPr>
        <w:t>Bij einde dienstverband levert werknemer de fiets in bij werkgever of maakt deze op dat moment met werkgever afspraken over de prijs voor overname van de fiets. Een eventuele lagere overnameprijs dan de marktwaarde van de fiets wordt t.z.t. als belast loon bij de werknemer</w:t>
      </w:r>
      <w:r w:rsidRPr="00C33C22">
        <w:rPr>
          <w:b/>
          <w:bCs/>
          <w:sz w:val="20"/>
          <w:szCs w:val="20"/>
        </w:rPr>
        <w:t xml:space="preserve"> of</w:t>
      </w:r>
      <w:r w:rsidRPr="00C33C22">
        <w:rPr>
          <w:sz w:val="20"/>
          <w:szCs w:val="20"/>
        </w:rPr>
        <w:t xml:space="preserve"> als eindheffingsbestanddeel in de vrije ruimte van de WKR aangemerkt.   </w:t>
      </w:r>
    </w:p>
    <w:p w14:paraId="7D423EB7" w14:textId="77777777" w:rsidR="00C9773D" w:rsidRDefault="00C9773D"/>
    <w:sectPr w:rsidR="00C9773D">
      <w:footerReference w:type="defaul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87CA" w14:textId="77777777" w:rsidR="00867135" w:rsidRPr="00867135" w:rsidRDefault="00FE15A2">
    <w:pPr>
      <w:pStyle w:val="Voettekst"/>
      <w:jc w:val="center"/>
      <w:rPr>
        <w:sz w:val="16"/>
        <w:szCs w:val="16"/>
      </w:rPr>
    </w:pPr>
    <w:r w:rsidRPr="00867135">
      <w:rPr>
        <w:sz w:val="16"/>
        <w:szCs w:val="16"/>
      </w:rPr>
      <w:t>-</w:t>
    </w:r>
    <w:sdt>
      <w:sdtPr>
        <w:rPr>
          <w:sz w:val="16"/>
          <w:szCs w:val="16"/>
        </w:rPr>
        <w:id w:val="1276369233"/>
        <w:docPartObj>
          <w:docPartGallery w:val="Page Numbers (Bottom of Page)"/>
          <w:docPartUnique/>
        </w:docPartObj>
      </w:sdtPr>
      <w:sdtEndPr/>
      <w:sdtContent>
        <w:r w:rsidRPr="00867135">
          <w:rPr>
            <w:sz w:val="16"/>
            <w:szCs w:val="16"/>
          </w:rPr>
          <w:fldChar w:fldCharType="begin"/>
        </w:r>
        <w:r w:rsidRPr="00867135">
          <w:rPr>
            <w:sz w:val="16"/>
            <w:szCs w:val="16"/>
          </w:rPr>
          <w:instrText>PAGE   \* MERGEFORMAT</w:instrText>
        </w:r>
        <w:r w:rsidRPr="00867135">
          <w:rPr>
            <w:sz w:val="16"/>
            <w:szCs w:val="16"/>
          </w:rPr>
          <w:fldChar w:fldCharType="separate"/>
        </w:r>
        <w:r w:rsidRPr="00867135">
          <w:rPr>
            <w:sz w:val="16"/>
            <w:szCs w:val="16"/>
          </w:rPr>
          <w:t>2</w:t>
        </w:r>
        <w:r w:rsidRPr="00867135">
          <w:rPr>
            <w:sz w:val="16"/>
            <w:szCs w:val="16"/>
          </w:rPr>
          <w:fldChar w:fldCharType="end"/>
        </w:r>
        <w:r w:rsidRPr="00867135">
          <w:rPr>
            <w:sz w:val="16"/>
            <w:szCs w:val="16"/>
          </w:rPr>
          <w:t>-</w:t>
        </w:r>
      </w:sdtContent>
    </w:sdt>
  </w:p>
  <w:p w14:paraId="7FAE57D9" w14:textId="77777777" w:rsidR="00867135" w:rsidRDefault="00FE15A2">
    <w:pPr>
      <w:pStyle w:val="Voetteks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5A2"/>
    <w:rsid w:val="00C33072"/>
    <w:rsid w:val="00C9773D"/>
    <w:rsid w:val="00F42312"/>
    <w:rsid w:val="00FE15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7D14"/>
  <w15:chartTrackingRefBased/>
  <w15:docId w15:val="{46488542-38B1-4968-BFCF-441844CD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15A2"/>
    <w:rPr>
      <w:rFonts w:ascii="Verdana" w:hAnsi="Verdana"/>
    </w:rPr>
  </w:style>
  <w:style w:type="paragraph" w:styleId="Kop1">
    <w:name w:val="heading 1"/>
    <w:basedOn w:val="Standaard"/>
    <w:next w:val="Standaard"/>
    <w:link w:val="Kop1Char"/>
    <w:uiPriority w:val="9"/>
    <w:qFormat/>
    <w:rsid w:val="00FE15A2"/>
    <w:pPr>
      <w:keepNext/>
      <w:keepLines/>
      <w:spacing w:before="240" w:after="0"/>
      <w:outlineLvl w:val="0"/>
    </w:pPr>
    <w:rPr>
      <w:rFonts w:eastAsiaTheme="majorEastAsia" w:cstheme="majorBidi"/>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15A2"/>
    <w:rPr>
      <w:rFonts w:ascii="Verdana" w:eastAsiaTheme="majorEastAsia" w:hAnsi="Verdana" w:cstheme="majorBidi"/>
      <w:sz w:val="32"/>
      <w:szCs w:val="32"/>
    </w:rPr>
  </w:style>
  <w:style w:type="paragraph" w:styleId="Voettekst">
    <w:name w:val="footer"/>
    <w:basedOn w:val="Standaard"/>
    <w:link w:val="VoettekstChar"/>
    <w:uiPriority w:val="99"/>
    <w:unhideWhenUsed/>
    <w:rsid w:val="00FE15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15A2"/>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inklijke Metaaluni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2120</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Bouwman, Willeke</dc:creator>
  <cp:keywords/>
  <dc:description/>
  <cp:lastModifiedBy>Bouwman, Willeke</cp:lastModifiedBy>
  <cp:revision>1</cp:revision>
  <dcterms:created xsi:type="dcterms:W3CDTF">2022-03-28T08:35:00Z</dcterms:created>
  <dcterms:modified xsi:type="dcterms:W3CDTF">2022-03-28T08:35:00Z</dcterms:modified>
</cp:coreProperties>
</file>